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106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106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106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106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106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106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1063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25.12.2025 г.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8505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Ведомственная структура расходов бюджета муниципального образования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на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14587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9072"/>
        <w:gridCol w:w="605"/>
        <w:gridCol w:w="597"/>
        <w:gridCol w:w="547"/>
        <w:gridCol w:w="1646"/>
        <w:gridCol w:w="685"/>
        <w:gridCol w:w="14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9072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Показатель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Вед</w:t>
            </w:r>
            <w:r>
              <w:rPr>
                <w:rFonts w:ascii="FreeSerif" w:hAnsi="FreeSerif" w:eastAsia="FreeSerif" w:cs="FreeSerif"/>
              </w:rPr>
              <w:t xml:space="preserve">омство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4"/>
            <w:tcW w:w="3475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Коды бюджетной классификации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vMerge w:val="restart"/>
            <w:textDirection w:val="lrTb"/>
            <w:noWrap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Сумма (тысяч рублей)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2"/>
        </w:trPr>
        <w:tc>
          <w:tcPr>
            <w:tcW w:w="9072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</w:pPr>
            <w:r/>
            <w:r/>
          </w:p>
        </w:tc>
        <w:tc>
          <w:tcPr>
            <w:tcW w:w="605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</w:pPr>
            <w:r/>
            <w:r/>
          </w:p>
        </w:tc>
        <w:tc>
          <w:tcPr>
            <w:tcW w:w="59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Раздел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Под-раздел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Целевая статья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vMerge w:val="restart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Вид рас-хода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vMerge w:val="continue"/>
            <w:textDirection w:val="lrTb"/>
            <w:noWrap w:val="false"/>
          </w:tcPr>
          <w:p>
            <w:pPr>
              <w:pStyle w:val="931"/>
              <w:jc w:val="right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Всего расходов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3 166 517,7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902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834 325,8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264 963,5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главы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50 0 00 00190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50 0 00 00190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Совета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Совет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141 278,2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141 278,2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141 278,2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141 278,2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139 312,9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138 046,0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1 266,9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</w:t>
            </w:r>
            <w:r>
              <w:rPr>
                <w:rFonts w:ascii="FreeSerif" w:hAnsi="FreeSerif" w:eastAsia="FreeSerif" w:cs="FreeSerif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52 1 10 60870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982,6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52 1 10 60870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52 1 10 60870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4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лицам, которые относились к категории  детей-сирот и детей, оставшихся без попечения родителей, лиц из числа детей-сирот и детей, оставшихся без попечения родителей, и дости</w:t>
            </w:r>
            <w:r>
              <w:rPr>
                <w:rFonts w:ascii="FreeSerif" w:hAnsi="FreeSerif" w:eastAsia="FreeSerif" w:cs="FreeSerif"/>
              </w:rPr>
              <w:t xml:space="preserve">гли возраста 23 года, выплаты на приобретение благоустроенного жилого помещения в собственность или для полного погашения предоставленного на приобретение жилого помещения кредита (займа) по договору, обязательства заемщика по которому обеспечены ипотекой)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982,7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898,5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Судебная система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52 0 00 51200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52 0 00 51200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Финансовое обеспечение непредвиденных расходов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52 3 00 00000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Резервный фонд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52 3 00 00700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52 3 00 00700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119 523,3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"Поддержка малого и среднего предпринимательства в муниципальном образовании Ленинградский муниципальный округ Краснодарского края 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"Поддержка малого и среднего предпринимательства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мероприятия муниципальной программы "Поддержка малого и среднего предпринимательства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08 1 00 00500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08 1 00 00500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по гармонизации межличностных отношений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17 1 00 10110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17 1 00 10110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"Поддержка социально ориентированных некоммерческих организаций, осуществляющих свою деятельность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социально ориентированных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18 1 00 10130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18 1 00 10130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2 437,0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архивного дела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5 566,1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архивного дела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5 566,1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5 566,1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4 502,3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"Противодействие коррупции в Ленинградском муниципальном округе"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Противодействие коррупции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в сфере противодействия коррупции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24 1 00 10240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24 1 00 10240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7 279,6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Информатизация администрации 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7 279,6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30 1 00 00095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7 279,6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30 1 00 00095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7 279,6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«Кадровая политика и развитие муниципальной службы администрации Ленинградского муниципального округа»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муниципальной службы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33 0 00 10300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33 0 00 10300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«Управление муниципальным имуществом и земельными ресурсами»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34 0 00 00000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«Управление муниципальным имуществом и земельными ресурсами»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34 1 00 00000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Основные мероприятия муниципальной программы «Управление муниципальным имуществом и земельными ресурсами»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34 1 00 00550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34 1 00 00550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100 201,6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25 148,6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Муниципальное казенное учреждение "Центр муниципальных закупок"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52 4 01 00000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4 960,5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4 960,5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4 715,5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Муниципальное казенное учреждение "Централизованная межотраслевая бухгалтерия"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20 188,1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20 188,1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2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17 537,9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2 650,2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Выполнение других обязательств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52 6 00 00000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6 321,6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Прочие обязательства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 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52 6 00 09200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6 321,6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52 6 00 09200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5 421,6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52 6 00 09200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хозяйственного обслуживания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68 331,4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60 331,4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28 205,9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31 925,5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текущего и капитального ремонта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52 7 00 09020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52 7 00 09020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Национальная оборона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52 1 10 51180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52 1 10 51180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30 929,6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30 929,6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"Обеспечение безопасности населения муниципального образования Ленинградский муниципальный округ"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29 841,6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безопасности населения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29 841,6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мероприятия муниципальной программы "Обеспечение безопасности населения муниципального образования Ленинградский муниципальный округ"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05 1 00 00320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05 1 00 00320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Аварийно - спасательное формирование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05 1 01 00000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14 352,2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14 352,2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13 001,9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05 1 01 00590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1 350,3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Управление по делам ГО и ЧС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12 189,4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12 189,4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10 870,9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1 318,5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"Профилактика экстремизма и терроризма на территории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"Профилактика экстремизма и терроризма на территории муниципального образования Ленинградский муниципальный округ"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Материальное стимулирование деятельности народных дружинников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16 1 00 00990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1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16 1 00 00990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836,0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безопасности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54 0 00 00000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7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</w:t>
            </w:r>
            <w:r>
              <w:rPr>
                <w:rFonts w:ascii="FreeSerif" w:hAnsi="FreeSerif" w:eastAsia="FreeSerif" w:cs="FreeSerif"/>
              </w:rPr>
              <w:t xml:space="preserve">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54 0 00 60070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54 0 00 60070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104 772,7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Сельское хозяйство и рыболовство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8 295,8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6 518,4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4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«Разработка и апробац</w:t>
            </w:r>
            <w:r>
              <w:rPr>
                <w:rFonts w:ascii="FreeSerif" w:hAnsi="FreeSerif" w:eastAsia="FreeSerif" w:cs="FreeSerif"/>
              </w:rPr>
              <w:t xml:space="preserve">ия элементов органического земледелия, энерго-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муниципального округа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в области сельского хозяйства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14 1 00 00150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14 1 00 00150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малых форм хозяйствования в агропромышленном комплексе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в целях возмещения части затрат на производство реализуемой продукции животноводства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14 2 00 60911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14 2 00 60911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3 653,0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14 4 00 00000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1 959,4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14 4 00 60910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1 959,4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14 4 00 60910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1 797,4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14 4 00 60910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Непрограммные расходы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1 777,4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Непрограммные расходы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1 777,4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мероприятий при осуществлении деятельности по обращению с животными без владельцев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99 9 00 00160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954,0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99 9 00 00160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954,0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государственных полномочий Краснодарского края в области обращения с животными, предусмотре</w:t>
            </w:r>
            <w:r>
              <w:rPr>
                <w:rFonts w:ascii="FreeSerif" w:hAnsi="FreeSerif" w:eastAsia="FreeSerif" w:cs="FreeSerif"/>
              </w:rPr>
              <w:t xml:space="preserve">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99 9 00 61650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99 9 00 61650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823,4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Транспорт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3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программы «Развитие пассажирских перевозок автомобильным транспортом по муниципальным маршрутам границах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Оплата услуг по осуществлению регулярных пассажирских перевозок по муниципальным маршрутам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38 0 00 03171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38 0 00 03171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50 341,4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и содержание улично-дорожной сети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50 341,4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Дорожный фонд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37 0 00 03150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50 341,4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37 0 00 03150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50 341,4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13 135,5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"Комплексное и устойчивое развитие в муниципальном образовании Ленинградский муниципальный округ Краснодарского края в сфере архитектуры и градостроительства"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1 070,0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Постановка на кадастровый учет территориальных зон на территории 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25 1 00 00250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1 070,0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25 1 00 00250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1 070,0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"Служба единого заказчика 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12 065,5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10 976,6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903,6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52 4 03 00590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193 569,9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Жилищное хозяйство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программы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мероприятия муниципальной программы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27 0 00 00051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27 0 00 00051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«Обращение с твердыми коммунальными отходами на территории Ленинградского муниципального округа»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Обращение с твердыми коммунальными отходами на территории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Обустройство специализированных площадок с установкой контейнеров для складирования твердых коммунальных отходов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28 1 00 00116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28 1 00 00116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Приобретение в муниципальную собственность бункеров-накопителей для складирования крупногабаритных отходов, контейнеров для сбора твердых коммунальных отходов, в том числе раздельного сбора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28 1 00 00117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28 1 00 00117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77 653,9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4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«Формирование современной городской среды»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46 694,9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Региональный проект "Формирование комфортной городской среды"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0 И4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46 694,9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программ формирования современной городской среды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0 И4 А5550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46 694,9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0 И4 А5550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46 694,9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Благоустройство территории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Благоустройство территории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58 0 00 11200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58 0 00 11200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7 459,0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и содержание улично-дорожной сети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3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мероприятия муниципальной программы "Развитие и содержание улично-дорожной сети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37 0 00 03160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37 0 00 03160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жилищно-коммунального хозяйства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110 316,0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110 316,0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110 316,0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 комплексного содержания территорий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52 4 04 00000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110 316,0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62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52 4 04 00590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86 590,0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52 4 04 00590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23 726,0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2 167,9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2 167,9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 Повышение рождаемости в Ленинградском муниципальном округе"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"Повышение рождаемости в Ленинградском муниципальном округе"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по проведению оздоровительной кампании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35 1 00 00660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35 1 00 00660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1 185,0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вопросов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982,9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9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982,9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2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898,7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149 178,3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18 199,3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Дополнительное пенсионное обеспечение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18 199,3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Дополнительное материальное обеспечение лиц, замещавших муниципальные должности и должности муниципальной службы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64 0 00 04910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18 199,3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64 0 00 04910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18 199,3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18 191,0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"Социальная поддержка граждан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Социальная поддержка граждан в муниципальном образовании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по проведению оздоровительной кампании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31 1 00 00660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31 1 00 00660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институтов органов территориального общественного самоуправления в муниципальном образовании Ленинградский муниципальный округ на 2025-2029 годы"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2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"Развитие институтов органов территориального общественного самоуправления в муниципальном образовании Ленинградский муниципальный округ на 2025-2029 годы"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Компенсационные выплаты руководителям органов территориального общественного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36 1 00 00760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36 1 00 00760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вопросов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1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Краснодарского края на выплату единовременного пособия</w:t>
            </w:r>
            <w:r>
              <w:rPr>
                <w:rFonts w:ascii="FreeSerif" w:hAnsi="FreeSerif" w:eastAsia="FreeSerif" w:cs="FreeSerif"/>
              </w:rPr>
              <w:t xml:space="preserve">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</w:t>
            </w:r>
            <w:r>
              <w:rPr>
                <w:rFonts w:ascii="FreeSerif" w:hAnsi="FreeSerif" w:eastAsia="FreeSerif" w:cs="FreeSerif"/>
              </w:rPr>
              <w:t xml:space="preserve">ния граждан,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оплате проезда</w:t>
            </w:r>
            <w:r>
              <w:rPr>
                <w:rFonts w:ascii="FreeSerif" w:hAnsi="FreeSerif" w:eastAsia="FreeSerif" w:cs="FreeSerif"/>
              </w:rPr>
              <w:t xml:space="preserve">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вос-питание, к месту лечения (отдыха) и обратно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Непрограммные расходы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Непрограммные расходы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27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Дополнительные меры социальной поддержки в виде единовременной денежной выплаты отдельным категориям граждан в муниципальном образовании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99 9 00 11700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99 9 00 11700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Охрана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102 210,7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"Обеспечение жильем молодых семей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8 303,2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4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социальных выплат молодым семьям на приобретение (строительство) жилья в рамках реализации мероприятий по обеспечению жильем молодых семей федерального проекта "Содействие субъектам Российской Федерации в реализации полно</w:t>
            </w:r>
            <w:r>
              <w:rPr>
                <w:rFonts w:ascii="FreeSerif" w:hAnsi="FreeSerif" w:eastAsia="FreeSerif" w:cs="FreeSerif"/>
              </w:rPr>
              <w:t xml:space="preserve">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8 303,2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мероприятий по обеспечению жильем молодых семей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1 00 L4970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8 303,2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 1 00 L4970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8 303,2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69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38 894,6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А0820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38 894,6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А0820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37,6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А0820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38 857,0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вопросов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55 012,9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</w:t>
            </w:r>
            <w:r>
              <w:rPr>
                <w:rFonts w:ascii="FreeSerif" w:hAnsi="FreeSerif" w:eastAsia="FreeSerif" w:cs="FreeSerif"/>
              </w:rPr>
              <w:t xml:space="preserve">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31 271,3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469,1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30 802,2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23 741,6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356,2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68 0 00 69130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23 385,4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социальной политики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10 577,3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10 577,3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10 577,3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10 577,3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</w:t>
            </w:r>
            <w:r>
              <w:rPr>
                <w:rFonts w:ascii="FreeSerif" w:hAnsi="FreeSerif" w:eastAsia="FreeSerif" w:cs="FreeSerif"/>
              </w:rPr>
              <w:t xml:space="preserve">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</w:t>
            </w:r>
            <w:r>
              <w:rPr>
                <w:rFonts w:ascii="FreeSerif" w:hAnsi="FreeSerif" w:eastAsia="FreeSerif" w:cs="FreeSerif"/>
              </w:rPr>
              <w:t xml:space="preserve">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 специализированного жилищного фонда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1 318,4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04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5 230,5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4 809,5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421,0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4 028,4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3 775,8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52 1 10 69200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72 466,6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Массовый спорт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72 466,6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физической культуры и спорта в 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72 466,6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инфраструктуры массового спорта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72 466,6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1 00 S0340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72 466,6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1 00 S0340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72 466,6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10 263,5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10 263,5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Процентные платежи по муниципальному  долгу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10 263,5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муниципального долга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60 0 00 00650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10 263,5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60 0 00 00650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10 263,5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Финансовое управление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905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17 894,2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17 894,2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17 894,2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2 227,4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Информатизация администрации 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2 227,4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1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30 1 00 00095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2 227,4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30 1 00 00095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2 227,4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финансового управления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Финансовое управление администрации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15 666,8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15 260,3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406,5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Контрольно-счетная палата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910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5 381,1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6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контрольно-счетной палаты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Контрольно-счетная палата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функций органов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5 381,1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128,7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Управление образования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925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1 820 163,2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1 813 987,3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Дошкольное 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625 968,5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624 047,6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618 302,8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176 906,9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176 906,9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441 395,9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441 395,9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5 744,8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6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rFonts w:ascii="FreeSerif" w:hAnsi="FreeSerif" w:eastAsia="FreeSerif" w:cs="FreeSerif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5 534,7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5 534,7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"Обеспечение безопасности населения муниципального образования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1 920,9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05 1 00 00300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1 920,9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Общее 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1 022 175,8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1 021 580,8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9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сети и инфраструктуры образовательных организаций, обеспечивающих доступ населения муниципального образования Ленинградский муниципальный округ Краснодарского края к качественным услугам общего образования и дополнительного образования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02 0 01 00000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Оснащение образовательных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02 0 01 00280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02 0 01 00280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856 926,2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135 970,0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135 970,0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720 956,2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720 956,2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мер по популяризации среди детей и молодёжи</w:t>
              <w:br w:type="textWrapping" w:clear="all"/>
              <w:t xml:space="preserve">научно-образовательной, творческой и спортивной деятельности, выявление талантливой молодёжи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02 0 03 00120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02 0 03 00120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мер по социальной поддержке отдельных категорий обучающихся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95 722,0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дополнительных мер социальной поддержки в виде частичной оплаты стоимости питания обучающихся  общеобразовательных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3 149,6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3 149,6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школьников молоком и молочными продуктами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15 142,5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02 0 04 00240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15 142,5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обучающихся в общеобразовательных организациях детей с ОВЗ питанием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02 0 04 00420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02 0 04 00420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02 0 04 00470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6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02 0 04 00470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957,2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85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</w:t>
            </w:r>
            <w:r>
              <w:rPr>
                <w:rFonts w:ascii="FreeSerif" w:hAnsi="FreeSerif" w:eastAsia="FreeSerif" w:cs="FreeSerif"/>
              </w:rPr>
              <w:t xml:space="preserve">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02 0 04 62370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16 389,6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02 0 04 62370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16 389,6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обе</w:t>
            </w:r>
            <w:r>
              <w:rPr>
                <w:rFonts w:ascii="FreeSerif" w:hAnsi="FreeSerif" w:eastAsia="FreeSerif" w:cs="FreeSerif"/>
              </w:rPr>
              <w:t xml:space="preserve">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02 0 04 63540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1 300,3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02 0 04 63540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1 300,3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L3042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33 273,5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L3042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33 273,5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S3550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23 892,7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04 S3550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23 892,7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Формирование востребованной системы оценки качества образования и образовательных результатов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3 713,2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</w:t>
            </w:r>
            <w:r>
              <w:rPr>
                <w:rFonts w:ascii="FreeSerif" w:hAnsi="FreeSerif" w:eastAsia="FreeSerif" w:cs="FreeSerif"/>
              </w:rPr>
              <w:t xml:space="preserve">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02 0 05 62500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3 241,5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02 0 05 62500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3 241,5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49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02 0 05 90370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471,7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02 0 05 90370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471,7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9 794,6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738,2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78,9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78,9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42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</w:t>
            </w:r>
            <w:r>
              <w:rPr>
                <w:rFonts w:ascii="FreeSerif" w:hAnsi="FreeSerif" w:eastAsia="FreeSerif" w:cs="FreeSerif"/>
              </w:rPr>
              <w:t xml:space="preserve">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8 977,5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8 977,5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Региональный проект "Педагоги и наставники"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Ю6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51 715,4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Ежемесячное денежное вознаграждение з</w:t>
            </w:r>
            <w:r>
              <w:rPr>
                <w:rFonts w:ascii="FreeSerif" w:hAnsi="FreeSerif" w:eastAsia="FreeSerif" w:cs="FreeSerif"/>
              </w:rPr>
              <w:t xml:space="preserve">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</w:t>
            </w:r>
            <w:r>
              <w:rPr>
                <w:rFonts w:ascii="FreeSerif" w:hAnsi="FreeSerif" w:eastAsia="FreeSerif" w:cs="FreeSerif"/>
              </w:rPr>
              <w:t xml:space="preserve">аммы среднего общего образования (субвенции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Ю6 53032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51 715,4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Ю6 53032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51 715,4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"Обеспечение безопасности населения муниципального образования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05 1 00 00300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"Профилактика экстремизма и терроризма на территории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445,0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Отдельные мероприятия муниципальной программы "Профилактика экстремизма и терроризма на территории муниципального образования Ленинградский муниципальный округ"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445,0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по повышению инженерно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16 1 00 00880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445,0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16 1 00 00880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445,0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Дополнительное образование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66 572,9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7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66 572,9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29 264,2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29 264,2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29 264,2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61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</w:t>
            </w:r>
            <w:r>
              <w:rPr>
                <w:rFonts w:ascii="FreeSerif" w:hAnsi="FreeSerif" w:eastAsia="FreeSerif" w:cs="FreeSerif"/>
              </w:rPr>
              <w:t xml:space="preserve">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767,8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02 0 07 00000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36 540,9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02 0 07 00590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36 540,9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02 0 07 00590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36 520,9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02 0 07 00590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99 270,1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99 270,1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мер по популяризации среди детей и молодёжи научно-образовательной, творческой и спортивной деятельности, выявление талантливой молодёжи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Расходы, связанные с участием во всероссийских, региональных, интеллектуальных и творческих конкурсах, фестивалях и др.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02 0 03 00300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Формирование востребованной системы оценки качества образования и образовательных результатов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88 484,4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9 602,8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9 311,2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61 446,8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51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55 764,0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5 660,8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17 434,8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15 865,7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02 0 05 60860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1 569,1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0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Единовременная денежная выплата Почетному педагогу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02 0 06 90380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02 0 06 90380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полезной занятости детей и подростков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10 520,7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Мероприятия по проведению оздоровительной кампании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4 411,2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02 0 08 00660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4 411,2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02 0 08 63110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6 109,5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02 0 08 63110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6 109,5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Охрана семьи и детства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</w:t>
            </w:r>
            <w:r>
              <w:rPr>
                <w:rFonts w:ascii="FreeSerif" w:hAnsi="FreeSerif" w:eastAsia="FreeSerif" w:cs="FreeSerif"/>
              </w:rPr>
              <w:t xml:space="preserve">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и иные выплаты населению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02 0 02 60710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6 083,3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Отдел культуры муниципального образования 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926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320 740,0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71 183,8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Дополнительное образование детей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71 183,8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71 183,8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70 506,6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70 506,6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70 506,6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2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на 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rFonts w:ascii="FreeSerif" w:hAnsi="FreeSerif" w:eastAsia="FreeSerif" w:cs="FreeSerif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677,2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Культура, кинематография и средства массовой информации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249 556,2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Культура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174 828,8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174 828,8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174 167,0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Государственная поддержка отрасли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L5190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L5190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280,5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А4670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4 439,2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А4670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4 439,2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МБУК «ЛМБ»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06 1 04 00000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39 999,6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06 1 04 00590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39 999,6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06 1 04 00590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39 999,6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МБУК «Историко-краеведческий музей»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06 1 08 00000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8 070,3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06 1 08 00590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8 070,3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06 1 08 00590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8 070,3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ММБУ «Центр творчества и искусства»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06 1 09 00000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121 377,4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06 1 09 00590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121 377,4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06 1 09 00590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121 377,4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06 2 00 00410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06 2 00 00410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361,8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культурно - досуговой деятельности для различных категорий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Проведение праздничных и других мероприятий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06 3 00 00450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06 3 00 00450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Кинематография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культуры, кинематографии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64 892,4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64 892,4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62 149,5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1 639,6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145,2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60 509,9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58 351,7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2 118,2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Сохранение и развитие кадрового потенциала учреждений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06 2 00 00410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06 2 00 00410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культурно - досуговой деятельности для различных категорий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Проведение праздничных и других мероприятий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06 3 00 00450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06 3 00 00450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Отдел физической культуры и спорта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929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151 179,9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151 179,9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Физическая культура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146 041,1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физической культуры и спорта в 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146 041,1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спортивных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143 041,1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141 035,8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8 636,2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486,0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131 910,6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</w:t>
            </w:r>
            <w:r>
              <w:rPr>
                <w:rFonts w:ascii="FreeSerif" w:hAnsi="FreeSerif" w:eastAsia="FreeSerif" w:cs="FreeSerif"/>
              </w:rPr>
              <w:t xml:space="preserve">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07 2 00 60740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07 2 00 60740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218,8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3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rFonts w:ascii="FreeSerif" w:hAnsi="FreeSerif" w:eastAsia="FreeSerif" w:cs="FreeSerif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591,2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07 2 00 60820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591,2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S2820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S2820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1 195,3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проведение официальных спортивно-массовых мероприятий для различных категорий населения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07 3 00 00000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Проведение мероприятий в области ФК  и спорта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07 3 00 00130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07 3 00 00130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3 000,0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Массовый спорт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3 522,7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физической культуры и спорта в 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3 522,7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Развитие инфраструктуры массового спорта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3 522,7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Реализация мероприятия по закупке и монта</w:t>
            </w:r>
            <w:r>
              <w:rPr>
                <w:rFonts w:ascii="FreeSerif" w:hAnsi="FreeSerif" w:eastAsia="FreeSerif" w:cs="FreeSerif"/>
              </w:rPr>
              <w:t xml:space="preserve">жу оборудования для создания в опорных населенных пунктах, малых городах и на сельских территориях малых спортивных площадок, монтируемых на открытых или закрытых площадках, на которых возможно проводить тестирование населения в соответствии с требованиями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1 00 L2280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3 522,7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1 00 L2280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3 522,7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физической культуры и спорта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«Развитие физической культуры и спорта в муниципальном образовании Ленинградский муниципальный округ»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Организация и обеспечение деятельности спортивных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07 2 00 00190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Отдел по молодежной политик</w:t>
            </w:r>
            <w:r>
              <w:rPr>
                <w:rFonts w:ascii="FreeSerif" w:hAnsi="FreeSerif" w:eastAsia="FreeSerif" w:cs="FreeSerif"/>
                <w:bCs/>
              </w:rPr>
              <w:t xml:space="preserve">е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934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 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16 833,5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Образование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16 833,5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Молодежная политика 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"Молодежь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Молодежь Ленинградского муниципального округа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15 011,1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13 902,3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1 103,8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бюджетные ассигнования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09 1 00 00590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Проведение мероприятий для детей и молодежи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09 1 00 04310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09 1 00 04310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Муниципальная программа "Молодежь Ленинградского муниципального округа"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09 0 00 00000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15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Молодежь Ленинградского муниципального округа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Центральный аппарат администрации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1 522,4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1 494,4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9072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05" w:type="dxa"/>
            <w:vAlign w:val="top"/>
            <w:textDirection w:val="lrTb"/>
            <w:noWrap w:val="false"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934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9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547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646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09 1 00 00190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685" w:type="dxa"/>
            <w:vAlign w:val="top"/>
            <w:textDirection w:val="lrTb"/>
            <w:noWrap/>
          </w:tcPr>
          <w:p>
            <w:pPr>
              <w:pStyle w:val="931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435" w:type="dxa"/>
            <w:vAlign w:val="top"/>
            <w:textDirection w:val="lrTb"/>
            <w:noWrap/>
          </w:tcPr>
          <w:p>
            <w:pPr>
              <w:pStyle w:val="931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управления администрации         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 С.В. Тертица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6838" w:h="11906" w:orient="landscape"/>
      <w:pgMar w:top="1701" w:right="1134" w:bottom="62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separate"/>
    </w:r>
    <w:r>
      <w:rPr>
        <w:rStyle w:val="877"/>
      </w:rPr>
      <w:t xml:space="preserve">31</w: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5"/>
      <w:rPr>
        <w:rStyle w:val="877"/>
      </w:rPr>
      <w:framePr w:wrap="around" w:vAnchor="text" w:hAnchor="margin" w:xAlign="center" w:y="1"/>
    </w:pPr>
    <w:r>
      <w:rPr>
        <w:rStyle w:val="877"/>
      </w:rPr>
      <w:fldChar w:fldCharType="begin"/>
    </w:r>
    <w:r>
      <w:rPr>
        <w:rStyle w:val="877"/>
      </w:rPr>
      <w:instrText xml:space="preserve">PAGE  </w:instrText>
    </w:r>
    <w:r>
      <w:rPr>
        <w:rStyle w:val="877"/>
      </w:rPr>
      <w:fldChar w:fldCharType="end"/>
    </w:r>
    <w:r>
      <w:rPr>
        <w:rStyle w:val="877"/>
      </w:rPr>
    </w:r>
    <w:r>
      <w:rPr>
        <w:rStyle w:val="877"/>
      </w:rPr>
    </w:r>
  </w:p>
  <w:p>
    <w:pPr>
      <w:pStyle w:val="87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paragraph" w:styleId="871">
    <w:name w:val="Заголовок 3"/>
    <w:basedOn w:val="870"/>
    <w:next w:val="870"/>
    <w:link w:val="932"/>
    <w:qFormat/>
    <w:pPr>
      <w:keepNext/>
      <w:outlineLvl w:val="2"/>
    </w:pPr>
    <w:rPr>
      <w:b/>
      <w:bCs/>
      <w:color w:val="000000"/>
      <w:szCs w:val="28"/>
    </w:rPr>
  </w:style>
  <w:style w:type="character" w:styleId="872">
    <w:name w:val="Основной шрифт абзаца"/>
    <w:next w:val="872"/>
    <w:link w:val="870"/>
    <w:semiHidden/>
  </w:style>
  <w:style w:type="table" w:styleId="873">
    <w:name w:val="Обычная таблица"/>
    <w:next w:val="873"/>
    <w:link w:val="870"/>
    <w:semiHidden/>
    <w:tblPr/>
  </w:style>
  <w:style w:type="numbering" w:styleId="874">
    <w:name w:val="Нет списка"/>
    <w:next w:val="874"/>
    <w:link w:val="870"/>
    <w:uiPriority w:val="99"/>
    <w:semiHidden/>
  </w:style>
  <w:style w:type="paragraph" w:styleId="875">
    <w:name w:val="Верхний колонтитул"/>
    <w:basedOn w:val="870"/>
    <w:next w:val="875"/>
    <w:link w:val="933"/>
    <w:pPr>
      <w:tabs>
        <w:tab w:val="center" w:pos="4677" w:leader="none"/>
        <w:tab w:val="right" w:pos="9355" w:leader="none"/>
      </w:tabs>
    </w:pPr>
  </w:style>
  <w:style w:type="paragraph" w:styleId="876">
    <w:name w:val="Текст выноски"/>
    <w:basedOn w:val="870"/>
    <w:next w:val="876"/>
    <w:link w:val="934"/>
    <w:semiHidden/>
    <w:rPr>
      <w:rFonts w:ascii="Tahoma" w:hAnsi="Tahoma" w:cs="Tahoma"/>
      <w:sz w:val="16"/>
      <w:szCs w:val="16"/>
    </w:rPr>
  </w:style>
  <w:style w:type="character" w:styleId="877">
    <w:name w:val="Номер страницы"/>
    <w:basedOn w:val="872"/>
    <w:next w:val="877"/>
    <w:link w:val="870"/>
  </w:style>
  <w:style w:type="character" w:styleId="878">
    <w:name w:val="Цветовое выделение"/>
    <w:next w:val="878"/>
    <w:link w:val="870"/>
    <w:rPr>
      <w:b/>
      <w:color w:val="26282f"/>
      <w:sz w:val="26"/>
    </w:rPr>
  </w:style>
  <w:style w:type="paragraph" w:styleId="879">
    <w:name w:val="Нормальный (таблица)"/>
    <w:basedOn w:val="870"/>
    <w:next w:val="870"/>
    <w:link w:val="870"/>
    <w:pPr>
      <w:jc w:val="both"/>
      <w:widowControl w:val="off"/>
    </w:pPr>
    <w:rPr>
      <w:rFonts w:ascii="Arial" w:hAnsi="Arial"/>
    </w:rPr>
  </w:style>
  <w:style w:type="paragraph" w:styleId="880">
    <w:name w:val="Прижатый влево"/>
    <w:basedOn w:val="870"/>
    <w:next w:val="870"/>
    <w:link w:val="870"/>
    <w:pPr>
      <w:widowControl w:val="off"/>
    </w:pPr>
    <w:rPr>
      <w:rFonts w:ascii="Arial" w:hAnsi="Arial"/>
    </w:rPr>
  </w:style>
  <w:style w:type="character" w:styleId="881">
    <w:name w:val="Гиперссылка"/>
    <w:next w:val="881"/>
    <w:link w:val="870"/>
    <w:uiPriority w:val="99"/>
    <w:unhideWhenUsed/>
    <w:rPr>
      <w:color w:val="0563c1"/>
      <w:u w:val="single"/>
    </w:rPr>
  </w:style>
  <w:style w:type="character" w:styleId="882">
    <w:name w:val="Просмотренная гиперссылка"/>
    <w:next w:val="882"/>
    <w:link w:val="870"/>
    <w:uiPriority w:val="99"/>
    <w:unhideWhenUsed/>
    <w:rPr>
      <w:color w:val="954f72"/>
      <w:u w:val="single"/>
    </w:rPr>
  </w:style>
  <w:style w:type="paragraph" w:styleId="883">
    <w:name w:val="msonormal"/>
    <w:basedOn w:val="870"/>
    <w:next w:val="883"/>
    <w:link w:val="870"/>
    <w:pPr>
      <w:spacing w:before="100" w:beforeAutospacing="1" w:after="100" w:afterAutospacing="1"/>
    </w:pPr>
  </w:style>
  <w:style w:type="paragraph" w:styleId="884">
    <w:name w:val="xl66"/>
    <w:basedOn w:val="870"/>
    <w:next w:val="884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5">
    <w:name w:val="xl67"/>
    <w:basedOn w:val="870"/>
    <w:next w:val="885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6"/>
      <w:szCs w:val="16"/>
    </w:rPr>
  </w:style>
  <w:style w:type="paragraph" w:styleId="886">
    <w:name w:val="xl68"/>
    <w:basedOn w:val="870"/>
    <w:next w:val="886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887">
    <w:name w:val="xl69"/>
    <w:basedOn w:val="870"/>
    <w:next w:val="887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888">
    <w:name w:val="xl70"/>
    <w:basedOn w:val="870"/>
    <w:next w:val="888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</w:pBdr>
    </w:pPr>
  </w:style>
  <w:style w:type="paragraph" w:styleId="889">
    <w:name w:val="xl71"/>
    <w:basedOn w:val="870"/>
    <w:next w:val="889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0">
    <w:name w:val="xl72"/>
    <w:basedOn w:val="870"/>
    <w:next w:val="890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1">
    <w:name w:val="xl73"/>
    <w:basedOn w:val="870"/>
    <w:next w:val="891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892">
    <w:name w:val="xl74"/>
    <w:basedOn w:val="870"/>
    <w:next w:val="892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3">
    <w:name w:val="xl75"/>
    <w:basedOn w:val="870"/>
    <w:next w:val="893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ff0000"/>
    </w:rPr>
  </w:style>
  <w:style w:type="paragraph" w:styleId="894">
    <w:name w:val="xl76"/>
    <w:basedOn w:val="870"/>
    <w:next w:val="894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5">
    <w:name w:val="xl77"/>
    <w:basedOn w:val="870"/>
    <w:next w:val="895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896">
    <w:name w:val="xl78"/>
    <w:basedOn w:val="870"/>
    <w:next w:val="896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7">
    <w:name w:val="xl79"/>
    <w:basedOn w:val="870"/>
    <w:next w:val="897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8">
    <w:name w:val="xl80"/>
    <w:basedOn w:val="870"/>
    <w:next w:val="898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9">
    <w:name w:val="xl81"/>
    <w:basedOn w:val="870"/>
    <w:next w:val="899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0">
    <w:name w:val="xl82"/>
    <w:basedOn w:val="870"/>
    <w:next w:val="900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901">
    <w:name w:val="xl83"/>
    <w:basedOn w:val="870"/>
    <w:next w:val="901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2">
    <w:name w:val="xl84"/>
    <w:basedOn w:val="870"/>
    <w:next w:val="902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903">
    <w:name w:val="xl85"/>
    <w:basedOn w:val="870"/>
    <w:next w:val="903"/>
    <w:link w:val="870"/>
    <w:pPr>
      <w:spacing w:before="100" w:beforeAutospacing="1" w:after="100" w:afterAutospacing="1"/>
      <w:shd w:val="clear" w:color="000000" w:fill="ffffff"/>
    </w:pPr>
  </w:style>
  <w:style w:type="paragraph" w:styleId="904">
    <w:name w:val="xl86"/>
    <w:basedOn w:val="870"/>
    <w:next w:val="904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5">
    <w:name w:val="xl87"/>
    <w:basedOn w:val="870"/>
    <w:next w:val="905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6">
    <w:name w:val="xl88"/>
    <w:basedOn w:val="870"/>
    <w:next w:val="906"/>
    <w:link w:val="87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7">
    <w:name w:val="xl89"/>
    <w:basedOn w:val="870"/>
    <w:next w:val="907"/>
    <w:link w:val="87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8">
    <w:name w:val="xl90"/>
    <w:basedOn w:val="870"/>
    <w:next w:val="908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909">
    <w:name w:val="xl91"/>
    <w:basedOn w:val="870"/>
    <w:next w:val="909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910">
    <w:name w:val="xl92"/>
    <w:basedOn w:val="870"/>
    <w:next w:val="910"/>
    <w:link w:val="870"/>
    <w:pPr>
      <w:spacing w:before="100" w:beforeAutospacing="1" w:after="100" w:afterAutospacing="1"/>
      <w:shd w:val="clear" w:color="000000" w:fill="ffffff"/>
    </w:pPr>
  </w:style>
  <w:style w:type="paragraph" w:styleId="911">
    <w:name w:val="xl93"/>
    <w:basedOn w:val="870"/>
    <w:next w:val="911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2">
    <w:name w:val="xl94"/>
    <w:basedOn w:val="870"/>
    <w:next w:val="912"/>
    <w:link w:val="87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3">
    <w:name w:val="xl95"/>
    <w:basedOn w:val="870"/>
    <w:next w:val="913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14">
    <w:name w:val="xl96"/>
    <w:basedOn w:val="870"/>
    <w:next w:val="914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5">
    <w:name w:val="xl97"/>
    <w:basedOn w:val="870"/>
    <w:next w:val="915"/>
    <w:link w:val="870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916">
    <w:name w:val="xl98"/>
    <w:basedOn w:val="870"/>
    <w:next w:val="916"/>
    <w:link w:val="870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917">
    <w:name w:val="xl99"/>
    <w:basedOn w:val="870"/>
    <w:next w:val="917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8">
    <w:name w:val="xl100"/>
    <w:basedOn w:val="870"/>
    <w:next w:val="918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9">
    <w:name w:val="xl101"/>
    <w:basedOn w:val="870"/>
    <w:next w:val="919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0">
    <w:name w:val="xl102"/>
    <w:basedOn w:val="870"/>
    <w:next w:val="920"/>
    <w:link w:val="870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1">
    <w:name w:val="xl103"/>
    <w:basedOn w:val="870"/>
    <w:next w:val="921"/>
    <w:link w:val="870"/>
    <w:pPr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2">
    <w:name w:val="xl104"/>
    <w:basedOn w:val="870"/>
    <w:next w:val="922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3">
    <w:name w:val="xl105"/>
    <w:basedOn w:val="870"/>
    <w:next w:val="923"/>
    <w:link w:val="870"/>
    <w:pPr>
      <w:spacing w:before="100" w:beforeAutospacing="1" w:after="100" w:afterAutospacing="1"/>
    </w:pPr>
  </w:style>
  <w:style w:type="paragraph" w:styleId="924">
    <w:name w:val="xl106"/>
    <w:basedOn w:val="870"/>
    <w:next w:val="924"/>
    <w:link w:val="870"/>
    <w:pPr>
      <w:spacing w:before="100" w:beforeAutospacing="1" w:after="100" w:afterAutospacing="1"/>
    </w:pPr>
  </w:style>
  <w:style w:type="paragraph" w:styleId="925">
    <w:name w:val="xl107"/>
    <w:basedOn w:val="870"/>
    <w:next w:val="925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26">
    <w:name w:val="xl108"/>
    <w:basedOn w:val="870"/>
    <w:next w:val="926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27">
    <w:name w:val="xl109"/>
    <w:basedOn w:val="870"/>
    <w:next w:val="927"/>
    <w:link w:val="87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28">
    <w:name w:val="xl110"/>
    <w:basedOn w:val="870"/>
    <w:next w:val="928"/>
    <w:link w:val="870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29">
    <w:name w:val="xl111"/>
    <w:basedOn w:val="870"/>
    <w:next w:val="929"/>
    <w:link w:val="870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table" w:styleId="930">
    <w:name w:val="Сетка таблицы"/>
    <w:basedOn w:val="873"/>
    <w:next w:val="930"/>
    <w:link w:val="870"/>
    <w:tblPr/>
  </w:style>
  <w:style w:type="paragraph" w:styleId="931">
    <w:name w:val="Без интервала"/>
    <w:next w:val="931"/>
    <w:link w:val="870"/>
    <w:uiPriority w:val="1"/>
    <w:qFormat/>
    <w:rPr>
      <w:sz w:val="24"/>
      <w:szCs w:val="24"/>
      <w:lang w:val="ru-RU" w:eastAsia="ru-RU" w:bidi="ar-SA"/>
    </w:rPr>
  </w:style>
  <w:style w:type="character" w:styleId="932">
    <w:name w:val="Заголовок 3 Знак"/>
    <w:next w:val="932"/>
    <w:link w:val="871"/>
    <w:rPr>
      <w:b/>
      <w:bCs/>
      <w:color w:val="000000"/>
      <w:sz w:val="24"/>
      <w:szCs w:val="28"/>
    </w:rPr>
  </w:style>
  <w:style w:type="character" w:styleId="933">
    <w:name w:val="Верхний колонтитул Знак"/>
    <w:next w:val="933"/>
    <w:link w:val="875"/>
    <w:rPr>
      <w:sz w:val="24"/>
      <w:szCs w:val="24"/>
    </w:rPr>
  </w:style>
  <w:style w:type="character" w:styleId="934">
    <w:name w:val="Текст выноски Знак"/>
    <w:next w:val="934"/>
    <w:link w:val="876"/>
    <w:semiHidden/>
    <w:rPr>
      <w:rFonts w:ascii="Tahoma" w:hAnsi="Tahoma" w:cs="Tahoma"/>
      <w:sz w:val="16"/>
      <w:szCs w:val="16"/>
    </w:rPr>
  </w:style>
  <w:style w:type="character" w:styleId="935" w:default="1">
    <w:name w:val="Default Paragraph Font"/>
    <w:uiPriority w:val="1"/>
    <w:semiHidden/>
    <w:unhideWhenUsed/>
  </w:style>
  <w:style w:type="numbering" w:styleId="936" w:default="1">
    <w:name w:val="No List"/>
    <w:uiPriority w:val="99"/>
    <w:semiHidden/>
    <w:unhideWhenUsed/>
  </w:style>
  <w:style w:type="table" w:styleId="93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25</cp:revision>
  <dcterms:created xsi:type="dcterms:W3CDTF">2024-11-11T17:28:00Z</dcterms:created>
  <dcterms:modified xsi:type="dcterms:W3CDTF">2025-12-26T13:06:19Z</dcterms:modified>
  <cp:version>917504</cp:version>
</cp:coreProperties>
</file>